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16" w:rsidRDefault="00227D16" w:rsidP="00227D16">
      <w:pPr>
        <w:pStyle w:val="Standard"/>
        <w:jc w:val="center"/>
      </w:pPr>
    </w:p>
    <w:p w:rsidR="00227D16" w:rsidRDefault="00227D16" w:rsidP="00227D16">
      <w:pPr>
        <w:pStyle w:val="Standard"/>
        <w:jc w:val="center"/>
      </w:pPr>
      <w:r>
        <w:rPr>
          <w:rFonts w:ascii="Calibri" w:hAnsi="Calibri"/>
          <w:noProof/>
          <w:color w:val="000000"/>
          <w:sz w:val="22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51A499D" wp14:editId="3C86FD0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148038" cy="1148038"/>
            <wp:effectExtent l="0" t="0" r="0" b="0"/>
            <wp:wrapSquare wrapText="bothSides"/>
            <wp:docPr id="1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38" cy="1148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27D16" w:rsidRDefault="00227D16" w:rsidP="00227D16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MINISTÉRIO PÚBLICO DA UNIÃO</w:t>
      </w: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ESCOLA SUPERIOR DO MINISTÉRIO PÚBLICO DA UNIÃO</w:t>
      </w: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color w:val="000000"/>
          <w:sz w:val="22"/>
        </w:rPr>
      </w:pP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Unidade de origem da informação:</w:t>
      </w: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SECRETARIA DE ADMINISTRAÇÃO</w:t>
      </w: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DIVISÃO DE COMPRAS E CONTRATOS</w:t>
      </w:r>
    </w:p>
    <w:p w:rsidR="00227D16" w:rsidRDefault="00227D16" w:rsidP="00227D16">
      <w:pPr>
        <w:pStyle w:val="Standard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227D16" w:rsidRDefault="00227D16" w:rsidP="00227D16">
      <w:pPr>
        <w:pStyle w:val="Standard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227D16" w:rsidRDefault="00227D16" w:rsidP="00227D16">
      <w:pPr>
        <w:pStyle w:val="Standard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227D16" w:rsidRDefault="00227D16" w:rsidP="00227D16">
      <w:pPr>
        <w:pStyle w:val="Standard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227D16" w:rsidRDefault="006B0613" w:rsidP="00227D16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6B0613">
        <w:rPr>
          <w:rFonts w:ascii="Calibri" w:hAnsi="Calibri"/>
          <w:b/>
          <w:bCs/>
          <w:sz w:val="28"/>
          <w:szCs w:val="28"/>
        </w:rPr>
        <w:t>INEXIGIBILIDADES DE LICITAÇÃO</w:t>
      </w:r>
    </w:p>
    <w:p w:rsidR="006B0613" w:rsidRDefault="006B0613" w:rsidP="00227D16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p w:rsidR="006B0613" w:rsidRDefault="006B0613" w:rsidP="00227D16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227D16" w:rsidRDefault="006B0613" w:rsidP="00227D16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JANEIRO </w:t>
      </w:r>
      <w:r w:rsidR="00C307C9">
        <w:rPr>
          <w:rFonts w:ascii="Calibri" w:hAnsi="Calibri"/>
          <w:b/>
          <w:bCs/>
          <w:sz w:val="28"/>
          <w:szCs w:val="28"/>
        </w:rPr>
        <w:t>/ 2020</w:t>
      </w:r>
    </w:p>
    <w:p w:rsidR="00227D16" w:rsidRDefault="00227D16" w:rsidP="00227D16">
      <w:pPr>
        <w:pStyle w:val="Standard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227D16" w:rsidRDefault="00227D16" w:rsidP="00227D16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Em atenção aos princípios da publicidade e eficiência, previstos no </w:t>
      </w:r>
      <w:r>
        <w:rPr>
          <w:rFonts w:ascii="Calibri" w:hAnsi="Calibri"/>
          <w:i/>
          <w:iCs/>
          <w:sz w:val="28"/>
          <w:szCs w:val="28"/>
        </w:rPr>
        <w:t>caput</w:t>
      </w:r>
      <w:r>
        <w:rPr>
          <w:rFonts w:ascii="Calibri" w:hAnsi="Calibri"/>
          <w:sz w:val="28"/>
          <w:szCs w:val="28"/>
        </w:rPr>
        <w:t xml:space="preserve"> do art. 37 da Constituição Federal, bem como na resolução CNMP nº 86, de 21 de março de 2012, declaramos que não houve </w:t>
      </w:r>
      <w:r w:rsidR="006B0613">
        <w:rPr>
          <w:rFonts w:ascii="Calibri" w:hAnsi="Calibri"/>
          <w:sz w:val="28"/>
          <w:szCs w:val="28"/>
        </w:rPr>
        <w:t xml:space="preserve">Inexigibilidades de Licitação </w:t>
      </w:r>
      <w:r>
        <w:rPr>
          <w:rFonts w:ascii="Calibri" w:hAnsi="Calibri"/>
          <w:sz w:val="28"/>
          <w:szCs w:val="28"/>
        </w:rPr>
        <w:t xml:space="preserve">no mês de </w:t>
      </w:r>
      <w:r w:rsidR="006B0613">
        <w:rPr>
          <w:rFonts w:ascii="Calibri" w:hAnsi="Calibri"/>
          <w:sz w:val="28"/>
          <w:szCs w:val="28"/>
        </w:rPr>
        <w:t>janeiro</w:t>
      </w:r>
      <w:r w:rsidR="00C307C9">
        <w:rPr>
          <w:rFonts w:ascii="Calibri" w:hAnsi="Calibri"/>
          <w:sz w:val="28"/>
          <w:szCs w:val="28"/>
        </w:rPr>
        <w:t xml:space="preserve"> de 2020</w:t>
      </w:r>
    </w:p>
    <w:p w:rsidR="00481DFF" w:rsidRDefault="00481DFF"/>
    <w:sectPr w:rsidR="00481DF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92"/>
    <w:rsid w:val="00227D16"/>
    <w:rsid w:val="00481DFF"/>
    <w:rsid w:val="006B0613"/>
    <w:rsid w:val="006B295B"/>
    <w:rsid w:val="007A44E5"/>
    <w:rsid w:val="00A57092"/>
    <w:rsid w:val="00C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A6CF"/>
  <w15:chartTrackingRefBased/>
  <w15:docId w15:val="{CE98D736-6C51-425B-92DA-10C46A3C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27D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ESMPU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Batista Pereira do E.Santo</dc:creator>
  <cp:keywords/>
  <dc:description/>
  <cp:lastModifiedBy>Tatiane Batista Pereira do E.Santo</cp:lastModifiedBy>
  <cp:revision>6</cp:revision>
  <cp:lastPrinted>2021-01-22T17:03:00Z</cp:lastPrinted>
  <dcterms:created xsi:type="dcterms:W3CDTF">2019-01-22T19:19:00Z</dcterms:created>
  <dcterms:modified xsi:type="dcterms:W3CDTF">2021-01-22T17:04:00Z</dcterms:modified>
</cp:coreProperties>
</file>